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ascii="Arial" w:hAnsi="Arial" w:eastAsia="宋体"/>
          <w:b/>
          <w:i/>
          <w:sz w:val="24"/>
          <w:lang w:eastAsia="zh-CN"/>
        </w:rPr>
      </w:pPr>
      <w:r>
        <w:rPr>
          <w:rFonts w:hint="eastAsia"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/>
          <w:b/>
          <w:sz w:val="24"/>
        </w:rPr>
        <w:t>#10</w:t>
      </w:r>
      <w:r>
        <w:rPr>
          <w:rFonts w:hint="eastAsia" w:ascii="Arial" w:hAnsi="Arial" w:eastAsia="宋体" w:cs="Arial"/>
          <w:b/>
          <w:sz w:val="24"/>
          <w:lang w:eastAsia="zh-CN"/>
        </w:rPr>
        <w:t>3</w:t>
      </w:r>
      <w:r>
        <w:rPr>
          <w:rFonts w:ascii="Arial" w:hAnsi="Arial" w:cs="Arial"/>
          <w:b/>
          <w:sz w:val="24"/>
        </w:rPr>
        <w:t>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sz w:val="24"/>
          <w:lang w:eastAsia="zh-CN"/>
        </w:rPr>
        <w:t>R4-</w:t>
      </w:r>
      <w:r>
        <w:rPr>
          <w:rFonts w:hint="eastAsia" w:ascii="Arial" w:hAnsi="Arial"/>
          <w:b/>
          <w:sz w:val="24"/>
          <w:lang w:val="en-US" w:eastAsia="zh-CN"/>
        </w:rPr>
        <w:t>2208507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hint="eastAsia" w:ascii="Arial" w:hAnsi="Arial" w:eastAsia="宋体" w:cs="Arial"/>
          <w:b/>
          <w:sz w:val="24"/>
          <w:lang w:eastAsia="zh-CN"/>
        </w:rPr>
        <w:t>Electronic Meeting, May 09 – May 20, 2022</w:t>
      </w:r>
    </w:p>
    <w:p>
      <w:pPr>
        <w:pStyle w:val="16"/>
        <w:keepNext/>
        <w:keepLines/>
        <w:widowControl w:val="0"/>
        <w:tabs>
          <w:tab w:val="left" w:pos="2165"/>
          <w:tab w:val="clear" w:pos="4536"/>
          <w:tab w:val="clear" w:pos="9072"/>
        </w:tabs>
        <w:spacing w:before="180" w:after="120" w:line="240" w:lineRule="auto"/>
        <w:ind w:left="2127" w:hanging="2127"/>
        <w:jc w:val="both"/>
        <w:rPr>
          <w:rFonts w:eastAsia="宋体" w:cs="Arial"/>
          <w:b w:val="0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Source</w:t>
      </w:r>
      <w:r>
        <w:rPr>
          <w:rFonts w:eastAsia="宋体" w:cs="Arial"/>
          <w:szCs w:val="20"/>
          <w:lang w:val="en-US" w:eastAsia="zh-CN"/>
        </w:rPr>
        <w:t>:</w:t>
      </w:r>
      <w:r>
        <w:rPr>
          <w:rFonts w:eastAsia="宋体" w:cs="Arial"/>
          <w:szCs w:val="20"/>
          <w:lang w:val="en-US" w:eastAsia="zh-CN"/>
        </w:rPr>
        <w:tab/>
      </w:r>
      <w:r>
        <w:rPr>
          <w:rFonts w:eastAsia="宋体" w:cs="Arial"/>
          <w:b w:val="0"/>
          <w:szCs w:val="20"/>
          <w:lang w:val="en-US" w:eastAsia="zh-CN"/>
        </w:rPr>
        <w:t>ZTE Corporation</w:t>
      </w:r>
    </w:p>
    <w:p>
      <w:pPr>
        <w:pStyle w:val="16"/>
        <w:keepNext/>
        <w:keepLines/>
        <w:widowControl w:val="0"/>
        <w:spacing w:before="180" w:after="120" w:line="240" w:lineRule="auto"/>
        <w:ind w:left="2127" w:hanging="2127"/>
        <w:jc w:val="both"/>
        <w:rPr>
          <w:rFonts w:eastAsia="宋体" w:cs="Arial"/>
          <w:b w:val="0"/>
          <w:bCs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Title:</w:t>
      </w:r>
      <w:r>
        <w:rPr>
          <w:rFonts w:cs="Arial"/>
          <w:szCs w:val="20"/>
          <w:lang w:val="en-US" w:eastAsia="zh-CN"/>
        </w:rPr>
        <w:tab/>
      </w:r>
      <w:r>
        <w:rPr>
          <w:rFonts w:hint="eastAsia"/>
          <w:b w:val="0"/>
          <w:bCs/>
          <w:szCs w:val="20"/>
          <w:lang w:val="en-US" w:eastAsia="zh-CN"/>
        </w:rPr>
        <w:t>Discussion on conformance test of IAB</w:t>
      </w:r>
    </w:p>
    <w:p>
      <w:pPr>
        <w:pStyle w:val="16"/>
        <w:keepNext/>
        <w:keepLines/>
        <w:widowControl w:val="0"/>
        <w:tabs>
          <w:tab w:val="left" w:pos="2155"/>
          <w:tab w:val="clear" w:pos="4536"/>
          <w:tab w:val="clear" w:pos="9072"/>
        </w:tabs>
        <w:spacing w:before="180" w:after="120" w:line="240" w:lineRule="auto"/>
        <w:ind w:left="2610" w:hanging="2610"/>
        <w:jc w:val="both"/>
        <w:rPr>
          <w:rFonts w:cs="Arial"/>
          <w:b w:val="0"/>
          <w:bCs/>
          <w:szCs w:val="20"/>
          <w:lang w:val="en-US" w:eastAsia="zh-CN"/>
        </w:rPr>
      </w:pPr>
      <w:r>
        <w:rPr>
          <w:rFonts w:cs="Arial"/>
          <w:szCs w:val="20"/>
          <w:lang w:eastAsia="zh-CN"/>
        </w:rPr>
        <w:t>Agenda Item:</w:t>
      </w:r>
      <w:r>
        <w:rPr>
          <w:rFonts w:cs="Arial"/>
          <w:szCs w:val="20"/>
          <w:lang w:eastAsia="zh-CN"/>
        </w:rPr>
        <w:tab/>
      </w:r>
      <w:r>
        <w:rPr>
          <w:rFonts w:hint="eastAsia" w:cs="Arial"/>
          <w:b w:val="0"/>
          <w:bCs/>
          <w:szCs w:val="20"/>
          <w:lang w:val="en-US" w:eastAsia="zh-CN"/>
        </w:rPr>
        <w:t>9.16.3</w:t>
      </w:r>
    </w:p>
    <w:p>
      <w:pPr>
        <w:pStyle w:val="16"/>
        <w:keepNext/>
        <w:keepLines/>
        <w:widowControl w:val="0"/>
        <w:tabs>
          <w:tab w:val="left" w:pos="2160"/>
          <w:tab w:val="clear" w:pos="4536"/>
          <w:tab w:val="clear" w:pos="9072"/>
        </w:tabs>
        <w:spacing w:before="180" w:after="120" w:line="240" w:lineRule="auto"/>
        <w:ind w:left="2610" w:hanging="2610"/>
        <w:jc w:val="both"/>
        <w:rPr>
          <w:rFonts w:eastAsia="宋体" w:cs="Arial"/>
          <w:szCs w:val="20"/>
          <w:lang w:eastAsia="zh-CN"/>
        </w:rPr>
      </w:pPr>
      <w:r>
        <w:rPr>
          <w:rFonts w:cs="Arial"/>
          <w:szCs w:val="20"/>
          <w:lang w:eastAsia="zh-CN"/>
        </w:rPr>
        <w:t>Document for:</w:t>
      </w:r>
      <w:r>
        <w:rPr>
          <w:rFonts w:cs="Arial"/>
          <w:szCs w:val="20"/>
          <w:lang w:eastAsia="zh-CN"/>
        </w:rPr>
        <w:tab/>
      </w:r>
      <w:r>
        <w:rPr>
          <w:rFonts w:eastAsia="宋体" w:cs="Arial"/>
          <w:b w:val="0"/>
          <w:szCs w:val="20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10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we discuss the conformance test issues for simultaneous operation between child link and parent link.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31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For Rel-17 IAB simultaneous operation, the Tx quality and timing requirement are introduced. Some of the OTA requirements are shown below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</w:rPr>
        <w:t>[1]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5"/>
              <w:adjustRightInd w:val="0"/>
              <w:snapToGrid w:val="0"/>
              <w:spacing w:line="240" w:lineRule="auto"/>
              <w:rPr>
                <w:lang w:val="en-US"/>
              </w:rPr>
            </w:pPr>
            <w:bookmarkStart w:id="0" w:name="_Toc82450596"/>
            <w:bookmarkStart w:id="1" w:name="_Toc61183795"/>
            <w:bookmarkStart w:id="2" w:name="_Toc57821125"/>
            <w:bookmarkStart w:id="3" w:name="_Toc61184187"/>
            <w:bookmarkStart w:id="4" w:name="_Toc61184969"/>
            <w:bookmarkStart w:id="5" w:name="_Toc61183401"/>
            <w:bookmarkStart w:id="6" w:name="_Toc76541966"/>
            <w:bookmarkStart w:id="7" w:name="_Toc57820198"/>
            <w:bookmarkStart w:id="8" w:name="_Toc89948985"/>
            <w:bookmarkStart w:id="9" w:name="_Toc61184579"/>
            <w:bookmarkStart w:id="10" w:name="_Toc74583153"/>
            <w:bookmarkStart w:id="11" w:name="_Toc82449948"/>
            <w:bookmarkStart w:id="12" w:name="_Toc66386312"/>
            <w:r>
              <w:rPr>
                <w:lang w:val="en-US"/>
              </w:rPr>
              <w:t>6.5.2.1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IAB-DU modulation quality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>
            <w:pPr>
              <w:adjustRightInd w:val="0"/>
              <w:snapToGrid w:val="0"/>
              <w:spacing w:line="240" w:lineRule="auto"/>
              <w:rPr>
                <w:rFonts w:cs="v4.2.0"/>
              </w:rPr>
            </w:pPr>
            <w:r>
              <w:rPr>
                <w:rFonts w:cs="v4.2.0"/>
              </w:rPr>
              <w:t>The requirements in clause 6.5.2 for BS type 1-H in TS 38.104 [2] apply to IAB-DU type 1-H.</w:t>
            </w:r>
          </w:p>
          <w:p>
            <w:pPr>
              <w:pStyle w:val="54"/>
              <w:snapToGrid w:val="0"/>
              <w:spacing w:line="240" w:lineRule="auto"/>
            </w:pPr>
            <w:r>
              <w:t xml:space="preserve">NOTE: </w:t>
            </w:r>
            <w:r>
              <w:tab/>
            </w:r>
            <w:r>
              <w:t>When the indicated IAB-MT transmission timing mode is set to ‘Case6’ as specified in 3GPP TS 38.213 [10], the power imbalance</w:t>
            </w:r>
            <w:r>
              <w:rPr>
                <w:lang w:val="en-US"/>
              </w:rPr>
              <w:t xml:space="preserve"> for simultaneous transmission</w:t>
            </w:r>
            <w:r>
              <w:t xml:space="preserve"> between IAB-DU and IAB-MT under which the system can be operated is declared by manufacturer.</w:t>
            </w:r>
          </w:p>
          <w:p>
            <w:pPr>
              <w:pStyle w:val="6"/>
              <w:adjustRightInd w:val="0"/>
              <w:snapToGrid w:val="0"/>
              <w:spacing w:line="240" w:lineRule="auto"/>
              <w:rPr>
                <w:rStyle w:val="60"/>
                <w:rFonts w:eastAsiaTheme="minorEastAsia"/>
                <w:lang w:eastAsia="zh-CN"/>
              </w:rPr>
            </w:pPr>
            <w:bookmarkStart w:id="13" w:name="_Toc53185724"/>
            <w:bookmarkStart w:id="14" w:name="_Toc82450599"/>
            <w:bookmarkStart w:id="15" w:name="_Toc61184582"/>
            <w:bookmarkStart w:id="16" w:name="_Toc74583156"/>
            <w:bookmarkStart w:id="17" w:name="_Toc57820201"/>
            <w:bookmarkStart w:id="18" w:name="_Toc61184190"/>
            <w:bookmarkStart w:id="19" w:name="_Toc66386315"/>
            <w:bookmarkStart w:id="20" w:name="_Toc61183404"/>
            <w:bookmarkStart w:id="21" w:name="_Toc76541969"/>
            <w:bookmarkStart w:id="22" w:name="_Toc89948988"/>
            <w:bookmarkStart w:id="23" w:name="_Toc57821128"/>
            <w:bookmarkStart w:id="24" w:name="_Toc61183798"/>
            <w:bookmarkStart w:id="25" w:name="_Toc82449951"/>
            <w:bookmarkStart w:id="26" w:name="_Toc61184972"/>
            <w:bookmarkStart w:id="27" w:name="_Toc53185348"/>
            <w:r>
              <w:rPr>
                <w:rStyle w:val="60"/>
              </w:rPr>
              <w:t>6.5.2.2.</w:t>
            </w:r>
            <w:r>
              <w:rPr>
                <w:rStyle w:val="60"/>
                <w:rFonts w:eastAsiaTheme="minorEastAsia"/>
                <w:lang w:eastAsia="zh-CN"/>
              </w:rPr>
              <w:t>2</w:t>
            </w:r>
            <w:r>
              <w:rPr>
                <w:rStyle w:val="60"/>
              </w:rPr>
              <w:tab/>
            </w:r>
            <w:r>
              <w:rPr>
                <w:rStyle w:val="60"/>
                <w:rFonts w:eastAsiaTheme="minorEastAsia"/>
                <w:lang w:eastAsia="zh-CN"/>
              </w:rPr>
              <w:t>Minimum requirements for IAB-MT type 1-H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>
            <w:pPr>
              <w:adjustRightInd w:val="0"/>
              <w:snapToGrid w:val="0"/>
              <w:spacing w:line="240" w:lineRule="auto"/>
            </w:pPr>
            <w:r>
              <w:rPr>
                <w:lang w:eastAsia="zh-CN"/>
              </w:rPr>
              <w:t xml:space="preserve">For </w:t>
            </w:r>
            <w:r>
              <w:rPr>
                <w:i/>
                <w:iCs/>
                <w:lang w:eastAsia="zh-CN"/>
              </w:rPr>
              <w:t>IAB-MT type 1-H</w:t>
            </w:r>
            <w:r>
              <w:rPr>
                <w:lang w:eastAsia="zh-CN"/>
              </w:rPr>
              <w:t xml:space="preserve">, </w:t>
            </w:r>
            <w:r>
              <w:t xml:space="preserve">the EVM levels </w:t>
            </w:r>
            <w:r>
              <w:rPr>
                <w:rFonts w:eastAsia="宋体"/>
                <w:lang w:eastAsia="zh-CN"/>
              </w:rPr>
              <w:t xml:space="preserve">of </w:t>
            </w:r>
            <w:r>
              <w:rPr>
                <w:rFonts w:eastAsia="宋体"/>
              </w:rPr>
              <w:t xml:space="preserve">each </w:t>
            </w:r>
            <w:r>
              <w:rPr>
                <w:rFonts w:eastAsia="宋体"/>
                <w:lang w:eastAsia="zh-CN"/>
              </w:rPr>
              <w:t xml:space="preserve">NR </w:t>
            </w:r>
            <w:r>
              <w:rPr>
                <w:rFonts w:eastAsia="宋体"/>
              </w:rPr>
              <w:t>carrier</w:t>
            </w:r>
            <w:r>
              <w:t xml:space="preserve"> for different modulation schemes outlined in table 6.5.2.2.2-1 shall be met using the frame structure described in clause 6.5.2.</w:t>
            </w:r>
            <w:r>
              <w:rPr>
                <w:lang w:eastAsia="zh-CN"/>
              </w:rPr>
              <w:t>2.3.</w:t>
            </w:r>
          </w:p>
          <w:p>
            <w:pPr>
              <w:pStyle w:val="39"/>
              <w:adjustRightInd w:val="0"/>
              <w:snapToGrid w:val="0"/>
              <w:spacing w:line="240" w:lineRule="auto"/>
            </w:pPr>
            <w:r>
              <w:t xml:space="preserve">Table </w:t>
            </w:r>
            <w:r>
              <w:rPr>
                <w:rStyle w:val="60"/>
              </w:rPr>
              <w:t>6.5.2.2.</w:t>
            </w:r>
            <w:r>
              <w:rPr>
                <w:rStyle w:val="60"/>
                <w:rFonts w:eastAsiaTheme="minorEastAsia"/>
                <w:lang w:eastAsia="zh-CN"/>
              </w:rPr>
              <w:t>2</w:t>
            </w:r>
            <w:r>
              <w:t>-1: Requirements for Error Vector Magnitude</w:t>
            </w:r>
          </w:p>
          <w:tbl>
            <w:tblPr>
              <w:tblStyle w:val="19"/>
              <w:tblW w:w="679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55"/>
              <w:gridCol w:w="1135"/>
              <w:gridCol w:w="240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25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6"/>
                    <w:adjustRightInd w:val="0"/>
                    <w:snapToGrid w:val="0"/>
                    <w:spacing w:line="240" w:lineRule="auto"/>
                  </w:pPr>
                  <w:r>
                    <w:br w:type="page"/>
                  </w:r>
                  <w:r>
                    <w:t>Parameter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6"/>
                    <w:adjustRightInd w:val="0"/>
                    <w:snapToGrid w:val="0"/>
                    <w:spacing w:line="240" w:lineRule="auto"/>
                  </w:pPr>
                  <w:r>
                    <w:t>Unit</w:t>
                  </w:r>
                </w:p>
              </w:tc>
              <w:tc>
                <w:tcPr>
                  <w:tcW w:w="24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6"/>
                    <w:adjustRightInd w:val="0"/>
                    <w:snapToGrid w:val="0"/>
                    <w:spacing w:line="240" w:lineRule="auto"/>
                  </w:pPr>
                  <w:r>
                    <w:t>Average EVM Level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25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</w:pPr>
                  <w:r>
                    <w:t>QPSK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  <w:rPr>
                      <w:rFonts w:cs="v5.0.0"/>
                    </w:rPr>
                  </w:pPr>
                  <w:r>
                    <w:rPr>
                      <w:rFonts w:cs="v5.0.0"/>
                    </w:rPr>
                    <w:t>%</w:t>
                  </w:r>
                </w:p>
              </w:tc>
              <w:tc>
                <w:tcPr>
                  <w:tcW w:w="24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  <w:rPr>
                      <w:rFonts w:cs="v5.0.0"/>
                    </w:rPr>
                  </w:pPr>
                  <w:r>
                    <w:rPr>
                      <w:rFonts w:cs="v5.0.0"/>
                    </w:rPr>
                    <w:t>17.5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25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</w:pPr>
                  <w:r>
                    <w:t xml:space="preserve">16QAM 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  <w:rPr>
                      <w:rFonts w:cs="v5.0.0"/>
                    </w:rPr>
                  </w:pPr>
                  <w:r>
                    <w:rPr>
                      <w:rFonts w:cs="v5.0.0"/>
                    </w:rPr>
                    <w:t>%</w:t>
                  </w:r>
                </w:p>
              </w:tc>
              <w:tc>
                <w:tcPr>
                  <w:tcW w:w="24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  <w:rPr>
                      <w:rFonts w:cs="v5.0.0"/>
                    </w:rPr>
                  </w:pPr>
                  <w:r>
                    <w:rPr>
                      <w:rFonts w:cs="v5.0.0"/>
                    </w:rPr>
                    <w:t>12.5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25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</w:pPr>
                  <w:r>
                    <w:t xml:space="preserve">64QAM 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  <w:rPr>
                      <w:rFonts w:cs="v5.0.0"/>
                    </w:rPr>
                  </w:pPr>
                  <w:r>
                    <w:rPr>
                      <w:rFonts w:cs="v5.0.0"/>
                    </w:rPr>
                    <w:t>%</w:t>
                  </w:r>
                </w:p>
              </w:tc>
              <w:tc>
                <w:tcPr>
                  <w:tcW w:w="24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  <w:rPr>
                      <w:rFonts w:cs="v5.0.0"/>
                    </w:rPr>
                  </w:pPr>
                  <w:r>
                    <w:rPr>
                      <w:rFonts w:cs="v5.0.0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25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</w:pPr>
                  <w:r>
                    <w:t>256 QAM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  <w:rPr>
                      <w:rFonts w:cs="v5.0.0"/>
                    </w:rPr>
                  </w:pPr>
                  <w:r>
                    <w:rPr>
                      <w:rFonts w:cs="v5.0.0"/>
                    </w:rPr>
                    <w:t>%</w:t>
                  </w:r>
                </w:p>
              </w:tc>
              <w:tc>
                <w:tcPr>
                  <w:tcW w:w="24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adjustRightInd w:val="0"/>
                    <w:snapToGrid w:val="0"/>
                    <w:spacing w:line="240" w:lineRule="auto"/>
                    <w:rPr>
                      <w:rFonts w:cs="v5.0.0"/>
                    </w:rPr>
                  </w:pPr>
                  <w:r>
                    <w:rPr>
                      <w:rFonts w:cs="v5.0.0"/>
                    </w:rPr>
                    <w:t>3.5</w:t>
                  </w:r>
                </w:p>
              </w:tc>
            </w:tr>
          </w:tbl>
          <w:p>
            <w:pPr>
              <w:adjustRightInd w:val="0"/>
              <w:snapToGrid w:val="0"/>
              <w:spacing w:line="240" w:lineRule="auto"/>
              <w:rPr>
                <w:rFonts w:cs="v4.2.0"/>
              </w:rPr>
            </w:pPr>
          </w:p>
          <w:p>
            <w:pPr>
              <w:pStyle w:val="54"/>
              <w:snapToGrid w:val="0"/>
              <w:spacing w:line="240" w:lineRule="auto"/>
            </w:pPr>
            <w:r>
              <w:t xml:space="preserve">NOTE: </w:t>
            </w:r>
            <w:r>
              <w:tab/>
            </w:r>
            <w:r>
              <w:t xml:space="preserve">When the indicated IAB-MT transmission timing mode is set to ‘Case6’ as specified in 3GPP TS 38.213 [10], the power imbalance </w:t>
            </w:r>
            <w:r>
              <w:rPr>
                <w:lang w:val="en-US"/>
              </w:rPr>
              <w:t>for simultaneous transmission</w:t>
            </w:r>
            <w:r>
              <w:t xml:space="preserve"> between IAB-DU and IAB-MT under which the system can be operated is declared by manufacturer.</w:t>
            </w:r>
          </w:p>
          <w:p>
            <w:pPr>
              <w:pStyle w:val="5"/>
              <w:adjustRightInd w:val="0"/>
              <w:snapToGrid w:val="0"/>
              <w:spacing w:line="240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6.5.</w:t>
            </w:r>
            <w:r>
              <w:rPr>
                <w:lang w:val="en-US"/>
              </w:rPr>
              <w:t>4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Timing error between IAB-DU and IAB-MT of the same IAB-Node</w:t>
            </w:r>
          </w:p>
          <w:p>
            <w:pPr>
              <w:adjustRightInd w:val="0"/>
              <w:snapToGrid w:val="0"/>
              <w:spacing w:line="240" w:lineRule="auto"/>
              <w:rPr>
                <w:rFonts w:eastAsia="宋体"/>
                <w:lang w:eastAsia="zh-CN"/>
              </w:rPr>
            </w:pPr>
            <w:r>
              <w:t>When the indicated IAB-MT transmission timing mode is set to ‘Case6’ as specified in 3GPP TS 38.213 [10] and IAB-DU and IAB-MT of the same IAB-Node are transmitting simultaneously, the timing error between transmission timing of IAB-DU and IAB-MT shall not exceed [</w:t>
            </w:r>
            <w:r>
              <w:rPr>
                <w:rStyle w:val="61"/>
                <w:color w:val="000000"/>
                <w:shd w:val="clear" w:color="auto" w:fill="FFFFFF"/>
              </w:rPr>
              <w:t>min (3, 4.69 / (SCS/15 kHz)) µs], where SCS is the largest supportedsubcarrier spacing among IAB-DU and IAB-MT</w:t>
            </w:r>
          </w:p>
        </w:tc>
      </w:tr>
    </w:tbl>
    <w:p>
      <w:pPr>
        <w:pStyle w:val="31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The new requirement is under the situation that IAB-DU and IAB-MT transmit simultaneously.</w:t>
      </w:r>
    </w:p>
    <w:p>
      <w:pPr>
        <w:pStyle w:val="31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With regard to the conformance test of modulation quality and unwanted emissions, the current version of TS38.176-1/2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didn</w:t>
      </w:r>
      <w:r>
        <w:rPr>
          <w:rFonts w:ascii="Times New Roman" w:hAnsi="Times New Roman"/>
          <w:bCs/>
          <w:kern w:val="0"/>
          <w:sz w:val="20"/>
          <w:szCs w:val="20"/>
        </w:rPr>
        <w:t>’</w:t>
      </w:r>
      <w:r>
        <w:rPr>
          <w:rFonts w:hint="eastAsia" w:ascii="Times New Roman" w:hAnsi="Times New Roman"/>
          <w:bCs/>
          <w:kern w:val="0"/>
          <w:sz w:val="20"/>
          <w:szCs w:val="20"/>
        </w:rPr>
        <w:t>t consider the cases when IAB-DU and IAB-MT transmit simultaneously with unbalanced power declared by manufacturer, therefore we think that applicable test model should be further discussed and clarified.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In addition, the test of timing alignment error between IAB-DU Tx timing and IAB-MT Tx timing of the same IAB-Node needs be clarified since testing signal from IAB-DU and IAB-MT should be different which is not captured in legacy MIMO TAE conformance testing even though the framework might be similar as MIMO TAE conformance testing.</w:t>
      </w:r>
    </w:p>
    <w:p>
      <w:pPr>
        <w:pStyle w:val="31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In the legacy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test mode,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the testing signal for DL or UL should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occupy the whole channel for either IAB-DU or IAB-MT transmission, however for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simultaneous transmission tests at IAB-DU and IAB-MT, frequency allocation for IAB-DU and IAB-MT should be further clarified. In figure 1, we provide the initial proposals on how to allocate the freque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n</w:t>
      </w:r>
      <w:r>
        <w:rPr>
          <w:rFonts w:hint="eastAsia" w:ascii="Times New Roman" w:hAnsi="Times New Roman"/>
          <w:bCs/>
          <w:kern w:val="0"/>
          <w:sz w:val="20"/>
          <w:szCs w:val="20"/>
        </w:rPr>
        <w:t>cy resouce for IAB-DU and IAB-MT.</w:t>
      </w:r>
    </w:p>
    <w:p>
      <w:pPr>
        <w:pStyle w:val="31"/>
        <w:ind w:firstLine="0" w:firstLineChars="0"/>
        <w:jc w:val="center"/>
      </w:pPr>
      <w:r>
        <w:object>
          <v:shape id="_x0000_i1025" o:spt="75" type="#_x0000_t75" style="height:260.45pt;width:301.1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31"/>
        <w:ind w:firstLine="0" w:firstLineChars="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Figure 1, Depiction of simultaneous transmission at IAB-DU and IAB-MT with or without power imbalance</w:t>
      </w:r>
    </w:p>
    <w:p>
      <w:pPr>
        <w:pStyle w:val="31"/>
        <w:ind w:firstLine="0" w:firstLineChars="0"/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To be more specific,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or IAB-DU DL transmission, the PDCCH is transmitted in the first 2 OFDM symbols of a slot and other symbols are for IAB-DU PDSCH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with RNTI=2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,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PDSCH with RNTI =0 are transmitted in all OFDM symbols, and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the PUSCH for IAB-MT is transmitted in all the OFDM symbols.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Power imbalance between IAB-DU and IAB-MT could be left up the declarations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and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detailed test model could be found as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Table 1.</w:t>
      </w:r>
    </w:p>
    <w:p>
      <w:pP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br w:type="page"/>
      </w:r>
    </w:p>
    <w:p>
      <w:pPr>
        <w:pStyle w:val="31"/>
        <w:ind w:firstLine="0" w:firstLineChars="0"/>
        <w:jc w:val="center"/>
        <w:rPr>
          <w:rFonts w:hint="default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Table 1, Test models for the case when IAB-DU and IAB-MT transmit simultaneously with power imbalance</w:t>
      </w:r>
    </w:p>
    <w:tbl>
      <w:tblPr>
        <w:tblStyle w:val="19"/>
        <w:tblW w:w="96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0"/>
        <w:gridCol w:w="76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t xml:space="preserve">Target percent of QPSK PDSCH PRBs </w:t>
            </w:r>
            <w:r>
              <w:rPr>
                <w:rFonts w:hint="eastAsia"/>
                <w:lang w:val="en-US"/>
              </w:rPr>
              <w:t>for IAB-DU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rPr>
                <w:i/>
              </w:rPr>
              <w:t>x</w:t>
            </w:r>
            <w:r>
              <w:t>=</w:t>
            </w:r>
            <w:r>
              <w:rPr>
                <w:rFonts w:hint="eastAsia"/>
                <w:lang w:val="en-US"/>
              </w:rPr>
              <w:t>50%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# of QPSK PDSCH RBGs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 w:eastAsia="ko-KR"/>
              </w:rPr>
            </w:pPr>
            <w:r>
              <w:rPr>
                <w:rFonts w:ascii="Cambria Math" w:hAnsi="Cambria Math"/>
                <w:i/>
                <w:position w:val="-28"/>
                <w:szCs w:val="22"/>
              </w:rPr>
              <w:object>
                <v:shape id="_x0000_i1026" o:spt="75" type="#_x0000_t75" style="height:34pt;width:103.9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7">
                  <o:LockedField>false</o:LockedField>
                </o:OLEObject>
              </w:object>
            </w:r>
            <w:r>
              <w:rPr>
                <w:szCs w:val="22"/>
              </w:rPr>
              <w:br w:type="textWrapping"/>
            </w:r>
            <w:r>
              <w:rPr>
                <w:szCs w:val="22"/>
              </w:rPr>
              <w:t>, where P is determined from table 5.1.2.2.1-1 from TS 38.214 [</w:t>
            </w:r>
            <w:r>
              <w:rPr>
                <w:rFonts w:hint="eastAsia"/>
                <w:szCs w:val="22"/>
                <w:lang w:val="en-US"/>
              </w:rPr>
              <w:t>24</w:t>
            </w:r>
            <w:r>
              <w:rPr>
                <w:szCs w:val="22"/>
              </w:rPr>
              <w:t xml:space="preserve">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Locations of PDSCH RBGs</w:t>
            </w:r>
            <w:r>
              <w:rPr>
                <w:rFonts w:hint="eastAsia"/>
                <w:lang w:val="en-US"/>
              </w:rPr>
              <w:t xml:space="preserve"> 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  <w:lang w:val="en-US"/>
              </w:rPr>
            </w:pPr>
            <w:r>
              <w:rPr>
                <w:rFonts w:ascii="Cambria Math" w:hAnsi="Cambria Math"/>
                <w:i/>
                <w:position w:val="-12"/>
                <w:szCs w:val="22"/>
              </w:rPr>
              <w:object>
                <v:shape id="_x0000_i1027" o:spt="75" type="#_x0000_t75" style="height:18pt;width:5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9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>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 to declaration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jc w:val="both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# of QPSK P</w:t>
            </w:r>
            <w:r>
              <w:rPr>
                <w:rFonts w:hint="eastAsia"/>
                <w:szCs w:val="18"/>
                <w:lang w:val="en-US" w:eastAsia="zh-CN"/>
              </w:rPr>
              <w:t>U</w:t>
            </w:r>
            <w:r>
              <w:rPr>
                <w:szCs w:val="18"/>
                <w:lang w:eastAsia="ko-KR"/>
              </w:rPr>
              <w:t>SCH PRBs</w:t>
            </w:r>
            <w:r>
              <w:rPr>
                <w:rFonts w:hint="eastAsia"/>
                <w:szCs w:val="18"/>
                <w:lang w:val="en-US"/>
              </w:rPr>
              <w:t>for IAB-MT</w:t>
            </w:r>
            <w:r>
              <w:rPr>
                <w:szCs w:val="18"/>
                <w:lang w:eastAsia="ko-KR"/>
              </w:rPr>
              <w:t xml:space="preserve">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jc w:val="both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Locations of P</w:t>
            </w:r>
            <w:r>
              <w:rPr>
                <w:rFonts w:hint="eastAsia"/>
                <w:lang w:val="en-US" w:eastAsia="zh-CN"/>
              </w:rPr>
              <w:t>U</w:t>
            </w:r>
            <w:r>
              <w:t>SCH RBGs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</w:p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 xml:space="preserve">Starting at RB#3 and excluding PRBs of RBGs which are boosted </w:t>
            </w:r>
          </w:p>
          <w:p>
            <w:pPr>
              <w:pStyle w:val="37"/>
              <w:adjustRightInd w:val="0"/>
              <w:snapToGrid w:val="0"/>
              <w:spacing w:after="0" w:line="240" w:lineRule="auto"/>
              <w:rPr>
                <w:lang w:eastAsia="ko-K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Level of deboosting 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Cambria Math" w:hAnsi="Cambria Math"/>
                <w:szCs w:val="22"/>
                <w:lang w:val="en-US"/>
              </w:rPr>
            </w:pPr>
            <w:r>
              <w:rPr>
                <w:rFonts w:hint="eastAsia" w:ascii="Cambria Math" w:hAnsi="Cambria Math" w:eastAsia="宋体"/>
                <w:i w:val="0"/>
                <w:position w:val="-30"/>
                <w:szCs w:val="22"/>
                <w:lang w:eastAsia="zh-CN"/>
              </w:rPr>
              <w:object>
                <v:shape id="_x0000_i1028" o:spt="75" type="#_x0000_t75" style="height:36pt;width:19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1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eastAsia="宋体"/>
                <w:lang w:eastAsia="zh-CN"/>
              </w:rPr>
            </w:pPr>
            <w:r>
              <w:t>Modulation of P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val="en-US"/>
              </w:rPr>
              <w:t>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29" o:spt="75" type="#_x0000_t75" style="height:18pt;width:4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3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Modulation of P</w:t>
            </w:r>
            <w:r>
              <w:rPr>
                <w:rFonts w:hint="eastAsia"/>
                <w:lang w:val="en-US"/>
              </w:rPr>
              <w:t>USCH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30" o:spt="75" type="#_x0000_t75" style="height:18pt;width:42.95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5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ascii="Arial" w:hAnsi="Arial" w:eastAsia="宋体" w:cs="Times New Roman"/>
                <w:sz w:val="18"/>
                <w:szCs w:val="22"/>
                <w:lang w:val="en-GB" w:eastAsia="zh-CN" w:bidi="ar-SA"/>
              </w:rPr>
            </w:pPr>
            <w:r>
              <w:rPr>
                <w:szCs w:val="22"/>
              </w:rPr>
              <w:t>QPSK</w:t>
            </w:r>
          </w:p>
        </w:tc>
      </w:tr>
    </w:tbl>
    <w:p>
      <w:pPr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sz w:val="20"/>
          <w:szCs w:val="20"/>
        </w:rPr>
        <w:t>Proposal 1: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To consider the following power allocation and frequency resource allocation for ACLR testing when IAB-DU and IAB-MT of the same IAB-Node transmit simultaneously.</w:t>
      </w:r>
    </w:p>
    <w:tbl>
      <w:tblPr>
        <w:tblStyle w:val="19"/>
        <w:tblW w:w="96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0"/>
        <w:gridCol w:w="76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t xml:space="preserve">Target percent of QPSK PDSCH PRBs </w:t>
            </w:r>
            <w:r>
              <w:rPr>
                <w:rFonts w:hint="eastAsia"/>
                <w:lang w:val="en-US"/>
              </w:rPr>
              <w:t>for IAB-DU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rPr>
                <w:i/>
              </w:rPr>
              <w:t>x</w:t>
            </w:r>
            <w:r>
              <w:t>=</w:t>
            </w:r>
            <w:r>
              <w:rPr>
                <w:rFonts w:hint="eastAsia"/>
                <w:lang w:val="en-US"/>
              </w:rPr>
              <w:t>50%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# of QPSK PDSCH RBGs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 w:eastAsia="ko-KR"/>
              </w:rPr>
            </w:pPr>
            <w:r>
              <w:rPr>
                <w:rFonts w:ascii="Cambria Math" w:hAnsi="Cambria Math"/>
                <w:i/>
                <w:position w:val="-28"/>
                <w:szCs w:val="22"/>
              </w:rPr>
              <w:object>
                <v:shape id="_x0000_i1031" o:spt="75" type="#_x0000_t75" style="height:34pt;width:103.9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7">
                  <o:LockedField>false</o:LockedField>
                </o:OLEObject>
              </w:object>
            </w:r>
            <w:r>
              <w:rPr>
                <w:szCs w:val="22"/>
              </w:rPr>
              <w:br w:type="textWrapping"/>
            </w:r>
            <w:r>
              <w:rPr>
                <w:szCs w:val="22"/>
              </w:rPr>
              <w:t>, where P is determined from table 5.1.2.2.1-1 from TS 38.214 [</w:t>
            </w:r>
            <w:r>
              <w:rPr>
                <w:rFonts w:hint="eastAsia"/>
                <w:szCs w:val="22"/>
                <w:lang w:val="en-US"/>
              </w:rPr>
              <w:t>24</w:t>
            </w:r>
            <w:r>
              <w:rPr>
                <w:szCs w:val="22"/>
              </w:rPr>
              <w:t xml:space="preserve">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Locations of PDSCH RBGs</w:t>
            </w:r>
            <w:r>
              <w:rPr>
                <w:rFonts w:hint="eastAsia"/>
                <w:lang w:val="en-US"/>
              </w:rPr>
              <w:t xml:space="preserve"> 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  <w:lang w:val="en-US"/>
              </w:rPr>
            </w:pPr>
            <w:r>
              <w:rPr>
                <w:rFonts w:ascii="Cambria Math" w:hAnsi="Cambria Math"/>
                <w:i/>
                <w:position w:val="-12"/>
                <w:szCs w:val="22"/>
              </w:rPr>
              <w:object>
                <v:shape id="_x0000_i1032" o:spt="75" type="#_x0000_t75" style="height:18pt;width:5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18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>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 to declaration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# of QPSK P</w:t>
            </w:r>
            <w:r>
              <w:rPr>
                <w:rFonts w:hint="eastAsia"/>
                <w:szCs w:val="18"/>
                <w:lang w:val="en-US" w:eastAsia="zh-CN"/>
              </w:rPr>
              <w:t>U</w:t>
            </w:r>
            <w:r>
              <w:rPr>
                <w:szCs w:val="18"/>
                <w:lang w:eastAsia="ko-KR"/>
              </w:rPr>
              <w:t>SCH PRBs</w:t>
            </w:r>
            <w:r>
              <w:rPr>
                <w:rFonts w:hint="eastAsia"/>
                <w:szCs w:val="18"/>
                <w:lang w:val="en-US"/>
              </w:rPr>
              <w:t>for IAB-MT</w:t>
            </w:r>
            <w:r>
              <w:rPr>
                <w:szCs w:val="18"/>
                <w:lang w:eastAsia="ko-KR"/>
              </w:rPr>
              <w:t xml:space="preserve">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Locations of P</w:t>
            </w:r>
            <w:r>
              <w:rPr>
                <w:rFonts w:hint="eastAsia"/>
                <w:lang w:val="en-US" w:eastAsia="zh-CN"/>
              </w:rPr>
              <w:t>U</w:t>
            </w:r>
            <w:r>
              <w:t>SCH RBGs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</w:p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 xml:space="preserve">Starting at RB#3 and excluding PRBs of RBGs which are boosted </w:t>
            </w:r>
          </w:p>
          <w:p>
            <w:pPr>
              <w:pStyle w:val="37"/>
              <w:adjustRightInd w:val="0"/>
              <w:snapToGrid w:val="0"/>
              <w:spacing w:after="0" w:line="240" w:lineRule="auto"/>
              <w:rPr>
                <w:lang w:eastAsia="ko-K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Level of deboosting 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Cambria Math" w:hAnsi="Cambria Math"/>
                <w:szCs w:val="22"/>
                <w:lang w:val="en-US"/>
              </w:rPr>
            </w:pPr>
            <w:r>
              <w:rPr>
                <w:rFonts w:hint="eastAsia" w:ascii="Cambria Math" w:hAnsi="Cambria Math" w:eastAsia="宋体"/>
                <w:i w:val="0"/>
                <w:position w:val="-30"/>
                <w:szCs w:val="22"/>
                <w:lang w:eastAsia="zh-CN"/>
              </w:rPr>
              <w:object>
                <v:shape id="_x0000_i1033" o:spt="75" type="#_x0000_t75" style="height:36pt;width:19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19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Modulation of P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val="en-US"/>
              </w:rPr>
              <w:t>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34" o:spt="75" type="#_x0000_t75" style="height:18pt;width:4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0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ascii="Arial" w:hAnsi="Arial" w:eastAsia="宋体" w:cs="Times New Roman"/>
                <w:sz w:val="18"/>
                <w:szCs w:val="22"/>
                <w:lang w:val="en-GB" w:eastAsia="zh-CN" w:bidi="ar-SA"/>
              </w:rPr>
            </w:pPr>
            <w:r>
              <w:rPr>
                <w:szCs w:val="22"/>
              </w:rPr>
              <w:t>QPSK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eastAsia="宋体"/>
                <w:lang w:eastAsia="zh-CN"/>
              </w:rPr>
            </w:pPr>
            <w:r>
              <w:t>Modulation of P</w:t>
            </w:r>
            <w:r>
              <w:rPr>
                <w:rFonts w:hint="eastAsia"/>
                <w:lang w:val="en-US"/>
              </w:rPr>
              <w:t>USCH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35" o:spt="75" type="#_x0000_t75" style="height:18pt;width:42.95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35" r:id="rId21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</w:tbl>
    <w:p>
      <w:pPr>
        <w:pStyle w:val="31"/>
        <w:suppressAutoHyphens/>
        <w:adjustRightInd/>
        <w:snapToGrid/>
        <w:spacing w:beforeLines="-2147483648" w:after="0" w:line="240" w:lineRule="auto"/>
        <w:ind w:firstLine="0" w:firstLineChars="0"/>
        <w:rPr>
          <w:rFonts w:hint="eastAsia" w:ascii="Times New Roman" w:hAnsi="Times New Roman"/>
          <w:b w:val="0"/>
          <w:bCs/>
          <w:kern w:val="0"/>
          <w:sz w:val="20"/>
          <w:szCs w:val="20"/>
          <w:lang w:val="en-US" w:eastAsia="zh-CN"/>
        </w:rPr>
      </w:pPr>
    </w:p>
    <w:p>
      <w:pPr>
        <w:pStyle w:val="31"/>
        <w:suppressAutoHyphens/>
        <w:adjustRightInd/>
        <w:snapToGrid/>
        <w:spacing w:beforeLines="-2147483648" w:after="0" w:line="240" w:lineRule="auto"/>
        <w:ind w:firstLine="0" w:firstLineChars="0"/>
        <w:rPr>
          <w:rFonts w:hint="eastAsia" w:ascii="Times New Roman" w:hAnsi="Times New Roman"/>
          <w:b w:val="0"/>
          <w:bCs/>
          <w:strike/>
          <w:color w:val="auto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  <w:lang w:val="en-US" w:eastAsia="zh-CN"/>
        </w:rPr>
        <w:t>I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</w:rPr>
        <w:t xml:space="preserve">t is 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  <w:lang w:val="en-US" w:eastAsia="zh-CN"/>
        </w:rPr>
        <w:t xml:space="preserve">should be explicitly described </w:t>
      </w:r>
      <w:r>
        <w:rPr>
          <w:rFonts w:hint="eastAsia" w:ascii="Times New Roman" w:hAnsi="Times New Roman"/>
          <w:b w:val="0"/>
          <w:bCs/>
          <w:kern w:val="0"/>
          <w:sz w:val="20"/>
          <w:szCs w:val="20"/>
          <w:lang w:val="en-US" w:eastAsia="zh-CN"/>
        </w:rPr>
        <w:t xml:space="preserve">in the test model 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  <w:lang w:val="en-US" w:eastAsia="zh-CN"/>
        </w:rPr>
        <w:t>that IAB-DU and IAB-MT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  <w:lang w:val="en-US" w:eastAsia="zh-CN"/>
        </w:rPr>
        <w:t>transmit simultaneously when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</w:rPr>
        <w:t xml:space="preserve"> measuring EVM and ACLR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  <w:lang w:val="en-US" w:eastAsia="zh-CN"/>
        </w:rPr>
        <w:t xml:space="preserve">. </w:t>
      </w:r>
    </w:p>
    <w:p>
      <w:pPr>
        <w:pStyle w:val="31"/>
        <w:adjustRightInd w:val="0"/>
        <w:snapToGrid w:val="0"/>
        <w:spacing w:beforeLines="50" w:after="0" w:line="240" w:lineRule="auto"/>
        <w:ind w:firstLine="0" w:firstLineChars="0"/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eastAsia="zh-CN"/>
        </w:rPr>
      </w:pPr>
      <w:r>
        <w:rPr>
          <w:rFonts w:hint="eastAsia" w:ascii="Times New Roman" w:hAnsi="Times New Roman" w:eastAsia="宋体"/>
          <w:bCs w:val="0"/>
          <w:color w:val="000000"/>
          <w:kern w:val="0"/>
          <w:sz w:val="20"/>
          <w:szCs w:val="24"/>
          <w:lang w:eastAsia="zh-CN"/>
        </w:rPr>
        <w:t>For the TAE requirement between IAB-DU and IAB-MT of the same IAB-Node, the above test model with</w:t>
      </w:r>
      <w:r>
        <w:rPr>
          <w:rFonts w:hint="eastAsia" w:ascii="Times New Roman" w:hAnsi="Times New Roman" w:eastAsia="宋体"/>
          <w:bCs w:val="0"/>
          <w:color w:val="000000"/>
          <w:kern w:val="0"/>
          <w:sz w:val="20"/>
          <w:szCs w:val="24"/>
          <w:lang w:val="en-US" w:eastAsia="zh-CN"/>
        </w:rPr>
        <w:t>out power imbalance</w:t>
      </w:r>
      <w:r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eastAsia="zh-CN"/>
        </w:rPr>
        <w:t xml:space="preserve"> can be considered as power imbalance s</w:t>
      </w:r>
      <w:r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val="en-US" w:eastAsia="zh-CN"/>
        </w:rPr>
        <w:t xml:space="preserve">hould have the marginal impact on </w:t>
      </w:r>
      <w:r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eastAsia="zh-CN"/>
        </w:rPr>
        <w:t>TAE requirement conformance testing.</w:t>
      </w:r>
    </w:p>
    <w:p>
      <w:pPr>
        <w:pStyle w:val="31"/>
        <w:suppressAutoHyphens/>
        <w:adjustRightInd w:val="0"/>
        <w:snapToGrid w:val="0"/>
        <w:spacing w:beforeLines="50" w:after="0" w:line="240" w:lineRule="auto"/>
        <w:ind w:firstLine="0" w:firstLineChars="0"/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eastAsia="zh-CN"/>
        </w:rPr>
      </w:pPr>
      <w:r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eastAsia="zh-CN"/>
        </w:rPr>
        <w:t xml:space="preserve">For IAB-DU and IAB-MT TAE requirement, </w:t>
      </w:r>
      <w:r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val="en-US" w:eastAsia="zh-CN"/>
        </w:rPr>
        <w:t>the</w:t>
      </w:r>
      <w:r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eastAsia="zh-CN"/>
        </w:rPr>
        <w:t xml:space="preserve"> timing misalignment should be measured by IAB-DU PDSCH DMRS and IAB-MT </w:t>
      </w:r>
      <w:r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val="en-US" w:eastAsia="zh-CN"/>
        </w:rPr>
        <w:t xml:space="preserve">PUSCH </w:t>
      </w:r>
      <w:r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eastAsia="zh-CN"/>
        </w:rPr>
        <w:t>DMRS signal.</w:t>
      </w:r>
    </w:p>
    <w:p>
      <w:pPr>
        <w:pStyle w:val="31"/>
        <w:suppressAutoHyphens/>
        <w:adjustRightInd w:val="0"/>
        <w:snapToGrid w:val="0"/>
        <w:spacing w:beforeLines="50" w:after="0" w:line="240" w:lineRule="auto"/>
        <w:ind w:firstLine="0" w:firstLineChars="0"/>
        <w:rPr>
          <w:b/>
          <w:szCs w:val="20"/>
        </w:rPr>
      </w:pPr>
      <w:r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val="en-US" w:eastAsia="zh-CN"/>
        </w:rPr>
        <w:t xml:space="preserve">For EVM conformance testing </w:t>
      </w:r>
      <w:r>
        <w:rPr>
          <w:rFonts w:hint="eastAsia" w:ascii="Times New Roman" w:hAnsi="Times New Roman" w:eastAsia="宋体"/>
          <w:b w:val="0"/>
          <w:color w:val="000000"/>
          <w:kern w:val="0"/>
          <w:sz w:val="20"/>
          <w:szCs w:val="24"/>
          <w:lang w:val="en-US" w:eastAsia="zh-CN"/>
        </w:rPr>
        <w:t>when IAB-DU and IAB-MT of the same IAB-Node transmit simultaneously</w:t>
      </w:r>
      <w:r>
        <w:rPr>
          <w:rFonts w:hint="eastAsia" w:ascii="Times New Roman" w:hAnsi="Times New Roman"/>
          <w:b w:val="0"/>
          <w:color w:val="000000"/>
          <w:kern w:val="0"/>
          <w:sz w:val="20"/>
          <w:szCs w:val="24"/>
          <w:lang w:val="en-US" w:eastAsia="zh-CN"/>
        </w:rPr>
        <w:t>, the modulation order in the above table could be updated correspondingly.</w:t>
      </w:r>
      <w:r>
        <w:rPr>
          <w:rFonts w:hint="eastAsia"/>
          <w:b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suppressAutoHyphens/>
        <w:spacing w:after="80" w:line="260" w:lineRule="auto"/>
        <w:rPr>
          <w:rFonts w:eastAsia="宋体"/>
          <w:bCs/>
          <w:szCs w:val="20"/>
          <w:lang w:eastAsia="zh-CN"/>
        </w:rPr>
      </w:pPr>
      <w:r>
        <w:rPr>
          <w:rFonts w:eastAsia="宋体"/>
          <w:bCs/>
          <w:szCs w:val="20"/>
          <w:lang w:eastAsia="zh-CN"/>
        </w:rPr>
        <w:t xml:space="preserve">Based on the analysis, the following proposal </w:t>
      </w:r>
      <w:r>
        <w:rPr>
          <w:rFonts w:hint="eastAsia" w:eastAsia="宋体"/>
          <w:bCs/>
          <w:szCs w:val="20"/>
          <w:lang w:val="en-US" w:eastAsia="zh-CN"/>
        </w:rPr>
        <w:t xml:space="preserve">is </w:t>
      </w:r>
      <w:bookmarkStart w:id="28" w:name="_GoBack"/>
      <w:bookmarkEnd w:id="28"/>
      <w:r>
        <w:rPr>
          <w:rFonts w:eastAsia="宋体"/>
          <w:bCs/>
          <w:szCs w:val="20"/>
          <w:lang w:eastAsia="zh-CN"/>
        </w:rPr>
        <w:t>given:</w:t>
      </w:r>
    </w:p>
    <w:p>
      <w:pPr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sz w:val="20"/>
          <w:szCs w:val="20"/>
        </w:rPr>
        <w:t>Proposal 1: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To consider the following power allocation and frequency resource allocation for ACLR testing when IAB-DU and IAB-MT of the same IAB-Node transmit simultaneously.</w:t>
      </w:r>
    </w:p>
    <w:tbl>
      <w:tblPr>
        <w:tblStyle w:val="19"/>
        <w:tblW w:w="96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0"/>
        <w:gridCol w:w="76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t xml:space="preserve">Target percent of QPSK PDSCH PRBs </w:t>
            </w:r>
            <w:r>
              <w:rPr>
                <w:rFonts w:hint="eastAsia"/>
                <w:lang w:val="en-US"/>
              </w:rPr>
              <w:t>for IAB-DU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rPr>
                <w:i/>
              </w:rPr>
              <w:t>x</w:t>
            </w:r>
            <w:r>
              <w:t>=</w:t>
            </w:r>
            <w:r>
              <w:rPr>
                <w:rFonts w:hint="eastAsia"/>
                <w:lang w:val="en-US"/>
              </w:rPr>
              <w:t>50%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# of QPSK PDSCH RBGs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 w:eastAsia="ko-KR"/>
              </w:rPr>
            </w:pPr>
            <w:r>
              <w:rPr>
                <w:rFonts w:ascii="Cambria Math" w:hAnsi="Cambria Math"/>
                <w:i/>
                <w:position w:val="-28"/>
                <w:szCs w:val="22"/>
              </w:rPr>
              <w:object>
                <v:shape id="_x0000_i1036" o:spt="75" type="#_x0000_t75" style="height:34pt;width:103.9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36" DrawAspect="Content" ObjectID="_1468075736" r:id="rId23">
                  <o:LockedField>false</o:LockedField>
                </o:OLEObject>
              </w:object>
            </w:r>
            <w:r>
              <w:rPr>
                <w:szCs w:val="22"/>
              </w:rPr>
              <w:br w:type="textWrapping"/>
            </w:r>
            <w:r>
              <w:rPr>
                <w:szCs w:val="22"/>
              </w:rPr>
              <w:t>, where P is determined from table 5.1.2.2.1-1 from TS 38.214 [</w:t>
            </w:r>
            <w:r>
              <w:rPr>
                <w:rFonts w:hint="eastAsia"/>
                <w:szCs w:val="22"/>
                <w:lang w:val="en-US"/>
              </w:rPr>
              <w:t>24</w:t>
            </w:r>
            <w:r>
              <w:rPr>
                <w:szCs w:val="22"/>
              </w:rPr>
              <w:t xml:space="preserve">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Locations of PDSCH RBGs</w:t>
            </w:r>
            <w:r>
              <w:rPr>
                <w:rFonts w:hint="eastAsia"/>
                <w:lang w:val="en-US"/>
              </w:rPr>
              <w:t xml:space="preserve"> 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  <w:lang w:val="en-US"/>
              </w:rPr>
            </w:pPr>
            <w:r>
              <w:rPr>
                <w:rFonts w:ascii="Cambria Math" w:hAnsi="Cambria Math"/>
                <w:i/>
                <w:position w:val="-12"/>
                <w:szCs w:val="22"/>
              </w:rPr>
              <w:object>
                <v:shape id="_x0000_i1037" o:spt="75" type="#_x0000_t75" style="height:18pt;width:5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7" r:id="rId24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>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 to declaration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# of QPSK P</w:t>
            </w:r>
            <w:r>
              <w:rPr>
                <w:rFonts w:hint="eastAsia"/>
                <w:szCs w:val="18"/>
                <w:lang w:val="en-US" w:eastAsia="zh-CN"/>
              </w:rPr>
              <w:t>U</w:t>
            </w:r>
            <w:r>
              <w:rPr>
                <w:szCs w:val="18"/>
                <w:lang w:eastAsia="ko-KR"/>
              </w:rPr>
              <w:t>SCH PRBs</w:t>
            </w:r>
            <w:r>
              <w:rPr>
                <w:rFonts w:hint="eastAsia"/>
                <w:szCs w:val="18"/>
                <w:lang w:val="en-US"/>
              </w:rPr>
              <w:t>for IAB-MT</w:t>
            </w:r>
            <w:r>
              <w:rPr>
                <w:szCs w:val="18"/>
                <w:lang w:eastAsia="ko-KR"/>
              </w:rPr>
              <w:t xml:space="preserve">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Locations of P</w:t>
            </w:r>
            <w:r>
              <w:rPr>
                <w:rFonts w:hint="eastAsia"/>
                <w:lang w:val="en-US" w:eastAsia="zh-CN"/>
              </w:rPr>
              <w:t>U</w:t>
            </w:r>
            <w:r>
              <w:t>SCH RBGs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</w:p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 xml:space="preserve">Starting at RB#3 and excluding PRBs of RBGs which are boosted </w:t>
            </w:r>
          </w:p>
          <w:p>
            <w:pPr>
              <w:pStyle w:val="37"/>
              <w:adjustRightInd w:val="0"/>
              <w:snapToGrid w:val="0"/>
              <w:spacing w:after="0" w:line="240" w:lineRule="auto"/>
              <w:rPr>
                <w:lang w:eastAsia="ko-K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Level of deboosting 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Cambria Math" w:hAnsi="Cambria Math"/>
                <w:szCs w:val="22"/>
                <w:lang w:val="en-US"/>
              </w:rPr>
            </w:pPr>
            <w:r>
              <w:rPr>
                <w:rFonts w:hint="eastAsia" w:ascii="Cambria Math" w:hAnsi="Cambria Math" w:eastAsia="宋体"/>
                <w:i w:val="0"/>
                <w:position w:val="-30"/>
                <w:szCs w:val="22"/>
                <w:lang w:eastAsia="zh-CN"/>
              </w:rPr>
              <w:object>
                <v:shape id="_x0000_i1038" o:spt="75" type="#_x0000_t75" style="height:36pt;width:19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38" r:id="rId25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Modulation of P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val="en-US"/>
              </w:rPr>
              <w:t>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39" o:spt="75" type="#_x0000_t75" style="height:18pt;width:4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9" r:id="rId26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ascii="Arial" w:hAnsi="Arial" w:eastAsia="宋体" w:cs="Times New Roman"/>
                <w:sz w:val="18"/>
                <w:szCs w:val="22"/>
                <w:lang w:val="en-GB" w:eastAsia="zh-CN" w:bidi="ar-SA"/>
              </w:rPr>
            </w:pPr>
            <w:r>
              <w:rPr>
                <w:szCs w:val="22"/>
              </w:rPr>
              <w:t>QPSK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eastAsia="宋体"/>
                <w:lang w:eastAsia="zh-CN"/>
              </w:rPr>
            </w:pPr>
            <w:r>
              <w:t>Modulation of P</w:t>
            </w:r>
            <w:r>
              <w:rPr>
                <w:rFonts w:hint="eastAsia"/>
                <w:lang w:val="en-US"/>
              </w:rPr>
              <w:t>USCH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40" o:spt="75" type="#_x0000_t75" style="height:18pt;width:42.95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40" DrawAspect="Content" ObjectID="_1468075740" r:id="rId27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</w:tbl>
    <w:p>
      <w:pPr>
        <w:pStyle w:val="31"/>
        <w:ind w:firstLine="0" w:firstLineChars="0"/>
        <w:rPr>
          <w:bCs/>
          <w:szCs w:val="20"/>
        </w:rPr>
      </w:pPr>
      <w:r>
        <w:rPr>
          <w:bCs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1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R4-2207213</w:t>
      </w:r>
    </w:p>
    <w:p>
      <w:pPr>
        <w:pStyle w:val="11"/>
        <w:numPr>
          <w:ilvl w:val="0"/>
          <w:numId w:val="0"/>
        </w:numPr>
        <w:rPr>
          <w:sz w:val="20"/>
          <w:szCs w:val="20"/>
          <w:lang w:val="en-US"/>
        </w:rPr>
      </w:pPr>
    </w:p>
    <w:p>
      <w:pPr>
        <w:pStyle w:val="11"/>
        <w:numPr>
          <w:ilvl w:val="0"/>
          <w:numId w:val="0"/>
        </w:numPr>
        <w:rPr>
          <w:sz w:val="20"/>
          <w:szCs w:val="20"/>
          <w:lang w:val="en-US"/>
        </w:rPr>
      </w:pPr>
    </w:p>
    <w:p>
      <w:pPr>
        <w:pStyle w:val="11"/>
        <w:numPr>
          <w:ilvl w:val="0"/>
          <w:numId w:val="0"/>
        </w:numPr>
        <w:rPr>
          <w:sz w:val="20"/>
          <w:szCs w:val="20"/>
          <w:lang w:val="en-US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4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23C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65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473E0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AE4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5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053D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2854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0092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069"/>
    <w:rsid w:val="00F478C4"/>
    <w:rsid w:val="00F5076A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9DE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B6FF3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4765FB"/>
    <w:rsid w:val="0153531E"/>
    <w:rsid w:val="01624027"/>
    <w:rsid w:val="01854830"/>
    <w:rsid w:val="018B3BAA"/>
    <w:rsid w:val="01957959"/>
    <w:rsid w:val="01BA0053"/>
    <w:rsid w:val="01DC1C82"/>
    <w:rsid w:val="02065A2E"/>
    <w:rsid w:val="020928F5"/>
    <w:rsid w:val="02281CFD"/>
    <w:rsid w:val="0228598B"/>
    <w:rsid w:val="02626E3D"/>
    <w:rsid w:val="02770E1A"/>
    <w:rsid w:val="0298367A"/>
    <w:rsid w:val="02D254EC"/>
    <w:rsid w:val="02F72239"/>
    <w:rsid w:val="02FE5F82"/>
    <w:rsid w:val="032D5AEE"/>
    <w:rsid w:val="03A05508"/>
    <w:rsid w:val="03AB67DC"/>
    <w:rsid w:val="03C77456"/>
    <w:rsid w:val="043D2559"/>
    <w:rsid w:val="0478015E"/>
    <w:rsid w:val="0518780B"/>
    <w:rsid w:val="0526729B"/>
    <w:rsid w:val="05510DD1"/>
    <w:rsid w:val="062A620F"/>
    <w:rsid w:val="064B00B0"/>
    <w:rsid w:val="06654A0B"/>
    <w:rsid w:val="06823D8F"/>
    <w:rsid w:val="07622262"/>
    <w:rsid w:val="079B3720"/>
    <w:rsid w:val="07CD3CDD"/>
    <w:rsid w:val="08C13553"/>
    <w:rsid w:val="09294F7D"/>
    <w:rsid w:val="09674661"/>
    <w:rsid w:val="097E672F"/>
    <w:rsid w:val="09825F02"/>
    <w:rsid w:val="09AB6C45"/>
    <w:rsid w:val="09E20449"/>
    <w:rsid w:val="0A2802DC"/>
    <w:rsid w:val="0A4B6F30"/>
    <w:rsid w:val="0A731B50"/>
    <w:rsid w:val="0B802D0D"/>
    <w:rsid w:val="0BC176FB"/>
    <w:rsid w:val="0BF41031"/>
    <w:rsid w:val="0C1547F0"/>
    <w:rsid w:val="0C1D57F9"/>
    <w:rsid w:val="0C953742"/>
    <w:rsid w:val="0CA242EA"/>
    <w:rsid w:val="0D613BA3"/>
    <w:rsid w:val="0D744565"/>
    <w:rsid w:val="0D7F564D"/>
    <w:rsid w:val="0D835665"/>
    <w:rsid w:val="0D98129F"/>
    <w:rsid w:val="0DE052FE"/>
    <w:rsid w:val="0DFF2B1F"/>
    <w:rsid w:val="0E3330D0"/>
    <w:rsid w:val="0E5576D4"/>
    <w:rsid w:val="0ECE66B5"/>
    <w:rsid w:val="0F11785B"/>
    <w:rsid w:val="0F21557B"/>
    <w:rsid w:val="0F372967"/>
    <w:rsid w:val="0F5107D2"/>
    <w:rsid w:val="0FB2124E"/>
    <w:rsid w:val="0FDA7DDA"/>
    <w:rsid w:val="0FFA1150"/>
    <w:rsid w:val="112D72C6"/>
    <w:rsid w:val="113F3856"/>
    <w:rsid w:val="11A50508"/>
    <w:rsid w:val="120639A8"/>
    <w:rsid w:val="123E18AA"/>
    <w:rsid w:val="12447798"/>
    <w:rsid w:val="125D4125"/>
    <w:rsid w:val="126149CF"/>
    <w:rsid w:val="12AE4121"/>
    <w:rsid w:val="13583391"/>
    <w:rsid w:val="137F4008"/>
    <w:rsid w:val="13975823"/>
    <w:rsid w:val="13AE6B05"/>
    <w:rsid w:val="13F672DD"/>
    <w:rsid w:val="13FA0803"/>
    <w:rsid w:val="140A2CA4"/>
    <w:rsid w:val="140C5848"/>
    <w:rsid w:val="141B497D"/>
    <w:rsid w:val="144E5CD4"/>
    <w:rsid w:val="14BF7340"/>
    <w:rsid w:val="14D87DF4"/>
    <w:rsid w:val="15220493"/>
    <w:rsid w:val="158F210D"/>
    <w:rsid w:val="15E12A88"/>
    <w:rsid w:val="15E95672"/>
    <w:rsid w:val="16054980"/>
    <w:rsid w:val="16271D63"/>
    <w:rsid w:val="165B2ECB"/>
    <w:rsid w:val="1660208F"/>
    <w:rsid w:val="167A7800"/>
    <w:rsid w:val="16BD2FB9"/>
    <w:rsid w:val="16C05D40"/>
    <w:rsid w:val="16E7731D"/>
    <w:rsid w:val="1707671B"/>
    <w:rsid w:val="179855D1"/>
    <w:rsid w:val="179F1E7A"/>
    <w:rsid w:val="17A613DC"/>
    <w:rsid w:val="188A0D46"/>
    <w:rsid w:val="18EF4764"/>
    <w:rsid w:val="19607D81"/>
    <w:rsid w:val="199503FD"/>
    <w:rsid w:val="19AF5CF6"/>
    <w:rsid w:val="19F256A0"/>
    <w:rsid w:val="1A0A0564"/>
    <w:rsid w:val="1A3F5603"/>
    <w:rsid w:val="1AA54D0B"/>
    <w:rsid w:val="1B3C4343"/>
    <w:rsid w:val="1B870B5B"/>
    <w:rsid w:val="1B8D4200"/>
    <w:rsid w:val="1BBC09F6"/>
    <w:rsid w:val="1C3571F6"/>
    <w:rsid w:val="1C3672FA"/>
    <w:rsid w:val="1C3A751E"/>
    <w:rsid w:val="1C3E4F98"/>
    <w:rsid w:val="1C5D00DA"/>
    <w:rsid w:val="1C7D0C1A"/>
    <w:rsid w:val="1C7E2DD6"/>
    <w:rsid w:val="1C8247E1"/>
    <w:rsid w:val="1CAD4CCB"/>
    <w:rsid w:val="1CCC40C9"/>
    <w:rsid w:val="1D186F9D"/>
    <w:rsid w:val="1D3130FA"/>
    <w:rsid w:val="1D504421"/>
    <w:rsid w:val="1D57112E"/>
    <w:rsid w:val="1D7B25BB"/>
    <w:rsid w:val="1DA251E1"/>
    <w:rsid w:val="1DA93704"/>
    <w:rsid w:val="1DF87CE3"/>
    <w:rsid w:val="1E343C5D"/>
    <w:rsid w:val="1E79733B"/>
    <w:rsid w:val="1ECF1323"/>
    <w:rsid w:val="1F295D72"/>
    <w:rsid w:val="1F4325C8"/>
    <w:rsid w:val="1F595BBB"/>
    <w:rsid w:val="1F7C7957"/>
    <w:rsid w:val="1FD21E35"/>
    <w:rsid w:val="1FD96681"/>
    <w:rsid w:val="1FE10390"/>
    <w:rsid w:val="1FEE7A9C"/>
    <w:rsid w:val="200E58BD"/>
    <w:rsid w:val="205164A7"/>
    <w:rsid w:val="20667B97"/>
    <w:rsid w:val="20795FD6"/>
    <w:rsid w:val="2090238B"/>
    <w:rsid w:val="20A434B3"/>
    <w:rsid w:val="20BA4AFB"/>
    <w:rsid w:val="20BA6502"/>
    <w:rsid w:val="20EE04E5"/>
    <w:rsid w:val="211A5459"/>
    <w:rsid w:val="216D7544"/>
    <w:rsid w:val="21B80AA5"/>
    <w:rsid w:val="221703FC"/>
    <w:rsid w:val="225216B5"/>
    <w:rsid w:val="22B37446"/>
    <w:rsid w:val="22CB0F22"/>
    <w:rsid w:val="235408E6"/>
    <w:rsid w:val="23FD5BE3"/>
    <w:rsid w:val="24386853"/>
    <w:rsid w:val="24715F69"/>
    <w:rsid w:val="24B140D4"/>
    <w:rsid w:val="24C569C9"/>
    <w:rsid w:val="24F907DC"/>
    <w:rsid w:val="250D35C2"/>
    <w:rsid w:val="252A03F9"/>
    <w:rsid w:val="25736853"/>
    <w:rsid w:val="25EF43C8"/>
    <w:rsid w:val="262E08BF"/>
    <w:rsid w:val="263951B2"/>
    <w:rsid w:val="263E55AD"/>
    <w:rsid w:val="264B37D3"/>
    <w:rsid w:val="27930B1B"/>
    <w:rsid w:val="27EF2EB7"/>
    <w:rsid w:val="28140998"/>
    <w:rsid w:val="281C290B"/>
    <w:rsid w:val="283146AB"/>
    <w:rsid w:val="288C6204"/>
    <w:rsid w:val="28A96A0F"/>
    <w:rsid w:val="28DD5033"/>
    <w:rsid w:val="28EE7A07"/>
    <w:rsid w:val="291F3AAD"/>
    <w:rsid w:val="29CD4516"/>
    <w:rsid w:val="2A1E2DE0"/>
    <w:rsid w:val="2A7049D1"/>
    <w:rsid w:val="2AB04251"/>
    <w:rsid w:val="2ABE7215"/>
    <w:rsid w:val="2AE558B3"/>
    <w:rsid w:val="2AE8229B"/>
    <w:rsid w:val="2AEC42E5"/>
    <w:rsid w:val="2B034D47"/>
    <w:rsid w:val="2B641C02"/>
    <w:rsid w:val="2B6F681F"/>
    <w:rsid w:val="2B8302EB"/>
    <w:rsid w:val="2B893BA3"/>
    <w:rsid w:val="2BC82480"/>
    <w:rsid w:val="2BEB375B"/>
    <w:rsid w:val="2C07332F"/>
    <w:rsid w:val="2C1A5D63"/>
    <w:rsid w:val="2C2907BF"/>
    <w:rsid w:val="2C80477B"/>
    <w:rsid w:val="2CA73FE3"/>
    <w:rsid w:val="2CD46AFB"/>
    <w:rsid w:val="2CE15438"/>
    <w:rsid w:val="2D812190"/>
    <w:rsid w:val="2DA94150"/>
    <w:rsid w:val="2E1176AC"/>
    <w:rsid w:val="2E20617B"/>
    <w:rsid w:val="2ECB7AE0"/>
    <w:rsid w:val="2F0E5D72"/>
    <w:rsid w:val="2F235269"/>
    <w:rsid w:val="2F322289"/>
    <w:rsid w:val="2F4B1C2D"/>
    <w:rsid w:val="2F691CE7"/>
    <w:rsid w:val="2FC15AF9"/>
    <w:rsid w:val="2FD74EE3"/>
    <w:rsid w:val="2FDC4E75"/>
    <w:rsid w:val="302F30EA"/>
    <w:rsid w:val="30571C73"/>
    <w:rsid w:val="306A1C37"/>
    <w:rsid w:val="30943D7F"/>
    <w:rsid w:val="309460D4"/>
    <w:rsid w:val="309C7501"/>
    <w:rsid w:val="30A1520F"/>
    <w:rsid w:val="30A375B7"/>
    <w:rsid w:val="30A819D5"/>
    <w:rsid w:val="310D7287"/>
    <w:rsid w:val="313A0372"/>
    <w:rsid w:val="316C26E3"/>
    <w:rsid w:val="31B6217A"/>
    <w:rsid w:val="31DA6003"/>
    <w:rsid w:val="32305666"/>
    <w:rsid w:val="328D4D87"/>
    <w:rsid w:val="32921F50"/>
    <w:rsid w:val="32987EA1"/>
    <w:rsid w:val="32EC2013"/>
    <w:rsid w:val="33021368"/>
    <w:rsid w:val="33133DBA"/>
    <w:rsid w:val="33491F36"/>
    <w:rsid w:val="33883009"/>
    <w:rsid w:val="33CC2F57"/>
    <w:rsid w:val="346C2BDC"/>
    <w:rsid w:val="346F2645"/>
    <w:rsid w:val="34E63221"/>
    <w:rsid w:val="34EA3595"/>
    <w:rsid w:val="34F31159"/>
    <w:rsid w:val="34F61BA3"/>
    <w:rsid w:val="35684E72"/>
    <w:rsid w:val="35D34EB8"/>
    <w:rsid w:val="35DD38C0"/>
    <w:rsid w:val="35F26505"/>
    <w:rsid w:val="3606723C"/>
    <w:rsid w:val="361A0DD1"/>
    <w:rsid w:val="36377E86"/>
    <w:rsid w:val="363A75C1"/>
    <w:rsid w:val="368E7AA5"/>
    <w:rsid w:val="36950F43"/>
    <w:rsid w:val="36F13745"/>
    <w:rsid w:val="37235D83"/>
    <w:rsid w:val="37625127"/>
    <w:rsid w:val="37A42BA6"/>
    <w:rsid w:val="386C1CFB"/>
    <w:rsid w:val="388C38C8"/>
    <w:rsid w:val="388E6306"/>
    <w:rsid w:val="3891144C"/>
    <w:rsid w:val="38C927B2"/>
    <w:rsid w:val="38CA0360"/>
    <w:rsid w:val="38E40513"/>
    <w:rsid w:val="393853EE"/>
    <w:rsid w:val="39474FFC"/>
    <w:rsid w:val="399616B0"/>
    <w:rsid w:val="39A12E64"/>
    <w:rsid w:val="39E030FB"/>
    <w:rsid w:val="39E551C2"/>
    <w:rsid w:val="39E60E3D"/>
    <w:rsid w:val="3A280D85"/>
    <w:rsid w:val="3A985F9F"/>
    <w:rsid w:val="3ABE7AAF"/>
    <w:rsid w:val="3ACA79CB"/>
    <w:rsid w:val="3ACD696C"/>
    <w:rsid w:val="3B1D04C9"/>
    <w:rsid w:val="3B2A3220"/>
    <w:rsid w:val="3B564493"/>
    <w:rsid w:val="3B68666D"/>
    <w:rsid w:val="3B764749"/>
    <w:rsid w:val="3B924465"/>
    <w:rsid w:val="3BA94452"/>
    <w:rsid w:val="3C031B6A"/>
    <w:rsid w:val="3C8B2EA4"/>
    <w:rsid w:val="3C986ABB"/>
    <w:rsid w:val="3CA02F85"/>
    <w:rsid w:val="3CAE115E"/>
    <w:rsid w:val="3CB6404C"/>
    <w:rsid w:val="3CC85F33"/>
    <w:rsid w:val="3D5A19A0"/>
    <w:rsid w:val="3D6F2596"/>
    <w:rsid w:val="3DC16634"/>
    <w:rsid w:val="3DF57F19"/>
    <w:rsid w:val="3DF805E3"/>
    <w:rsid w:val="3E1A5B77"/>
    <w:rsid w:val="3E3D115C"/>
    <w:rsid w:val="3E816ACA"/>
    <w:rsid w:val="3EBA3F51"/>
    <w:rsid w:val="3ED90D52"/>
    <w:rsid w:val="3EFB0DA2"/>
    <w:rsid w:val="3F4371E9"/>
    <w:rsid w:val="3F5B25E2"/>
    <w:rsid w:val="3FBE5D52"/>
    <w:rsid w:val="3FEB354A"/>
    <w:rsid w:val="40273EB3"/>
    <w:rsid w:val="403917EB"/>
    <w:rsid w:val="404F7A6B"/>
    <w:rsid w:val="40556C00"/>
    <w:rsid w:val="40705D5D"/>
    <w:rsid w:val="40C765F3"/>
    <w:rsid w:val="40E6301D"/>
    <w:rsid w:val="41071BAC"/>
    <w:rsid w:val="41256FB7"/>
    <w:rsid w:val="41503A0E"/>
    <w:rsid w:val="4154071D"/>
    <w:rsid w:val="42A77C12"/>
    <w:rsid w:val="42AE14DC"/>
    <w:rsid w:val="42C843A0"/>
    <w:rsid w:val="42F20CDD"/>
    <w:rsid w:val="434941B7"/>
    <w:rsid w:val="43776349"/>
    <w:rsid w:val="43A46A86"/>
    <w:rsid w:val="43EE5166"/>
    <w:rsid w:val="43F43E58"/>
    <w:rsid w:val="43F57DBA"/>
    <w:rsid w:val="44AC3C12"/>
    <w:rsid w:val="44B2766E"/>
    <w:rsid w:val="44C82F04"/>
    <w:rsid w:val="44D34EA9"/>
    <w:rsid w:val="44D97640"/>
    <w:rsid w:val="450C2DE7"/>
    <w:rsid w:val="453D01E5"/>
    <w:rsid w:val="45834801"/>
    <w:rsid w:val="458F4D24"/>
    <w:rsid w:val="459C5BD8"/>
    <w:rsid w:val="45A36544"/>
    <w:rsid w:val="45B01F58"/>
    <w:rsid w:val="45E86B72"/>
    <w:rsid w:val="45ED56E7"/>
    <w:rsid w:val="45F60A50"/>
    <w:rsid w:val="462C12A2"/>
    <w:rsid w:val="465B1E86"/>
    <w:rsid w:val="46C6208F"/>
    <w:rsid w:val="473010D7"/>
    <w:rsid w:val="482C6CD1"/>
    <w:rsid w:val="4853345A"/>
    <w:rsid w:val="486B777A"/>
    <w:rsid w:val="48845C84"/>
    <w:rsid w:val="489C44D3"/>
    <w:rsid w:val="48AD2549"/>
    <w:rsid w:val="48DD7033"/>
    <w:rsid w:val="48F82FC3"/>
    <w:rsid w:val="490D3059"/>
    <w:rsid w:val="49500FEB"/>
    <w:rsid w:val="4982678C"/>
    <w:rsid w:val="49F32E1B"/>
    <w:rsid w:val="49FF1C1E"/>
    <w:rsid w:val="4A0B7057"/>
    <w:rsid w:val="4A280667"/>
    <w:rsid w:val="4A495F41"/>
    <w:rsid w:val="4A511B6E"/>
    <w:rsid w:val="4A7C4548"/>
    <w:rsid w:val="4B5B5B93"/>
    <w:rsid w:val="4B901389"/>
    <w:rsid w:val="4BFE2AE1"/>
    <w:rsid w:val="4C2C30BE"/>
    <w:rsid w:val="4C3A2A9D"/>
    <w:rsid w:val="4C5D2EB7"/>
    <w:rsid w:val="4C8B5DCD"/>
    <w:rsid w:val="4C8D7B0E"/>
    <w:rsid w:val="4CBF03D6"/>
    <w:rsid w:val="4D014AEF"/>
    <w:rsid w:val="4D105B68"/>
    <w:rsid w:val="4D1E3273"/>
    <w:rsid w:val="4D513299"/>
    <w:rsid w:val="4D9D5F78"/>
    <w:rsid w:val="4DA22392"/>
    <w:rsid w:val="4DBE5704"/>
    <w:rsid w:val="4DF96CBC"/>
    <w:rsid w:val="4E4C233E"/>
    <w:rsid w:val="4E6467C3"/>
    <w:rsid w:val="4E9A7FF9"/>
    <w:rsid w:val="4EBB6F09"/>
    <w:rsid w:val="4EDA7726"/>
    <w:rsid w:val="4EDF702E"/>
    <w:rsid w:val="4EF148C1"/>
    <w:rsid w:val="4F047884"/>
    <w:rsid w:val="4F186AC1"/>
    <w:rsid w:val="4F813AF7"/>
    <w:rsid w:val="4FBD6EC5"/>
    <w:rsid w:val="4FBF1AB2"/>
    <w:rsid w:val="4FD507D5"/>
    <w:rsid w:val="4FEC60B3"/>
    <w:rsid w:val="50150A2D"/>
    <w:rsid w:val="504E5AC6"/>
    <w:rsid w:val="505076EF"/>
    <w:rsid w:val="505F3BD5"/>
    <w:rsid w:val="507820B7"/>
    <w:rsid w:val="508A0B34"/>
    <w:rsid w:val="509A0302"/>
    <w:rsid w:val="50E042AF"/>
    <w:rsid w:val="513C5648"/>
    <w:rsid w:val="51736098"/>
    <w:rsid w:val="51B14BED"/>
    <w:rsid w:val="51EE252C"/>
    <w:rsid w:val="51FA3D86"/>
    <w:rsid w:val="52022698"/>
    <w:rsid w:val="52064582"/>
    <w:rsid w:val="526965AA"/>
    <w:rsid w:val="529D7E97"/>
    <w:rsid w:val="531E2281"/>
    <w:rsid w:val="54175BE1"/>
    <w:rsid w:val="5445166E"/>
    <w:rsid w:val="54632332"/>
    <w:rsid w:val="547236DF"/>
    <w:rsid w:val="54944CE7"/>
    <w:rsid w:val="54E95C39"/>
    <w:rsid w:val="54EC1A86"/>
    <w:rsid w:val="55051E0B"/>
    <w:rsid w:val="55436523"/>
    <w:rsid w:val="558851EE"/>
    <w:rsid w:val="55CA20E9"/>
    <w:rsid w:val="55ED23C7"/>
    <w:rsid w:val="560C0036"/>
    <w:rsid w:val="563C5184"/>
    <w:rsid w:val="565631F5"/>
    <w:rsid w:val="56C44CD3"/>
    <w:rsid w:val="581B09AF"/>
    <w:rsid w:val="582E227B"/>
    <w:rsid w:val="583C79A9"/>
    <w:rsid w:val="58983966"/>
    <w:rsid w:val="589E3B99"/>
    <w:rsid w:val="589F3533"/>
    <w:rsid w:val="58FF6291"/>
    <w:rsid w:val="593261D2"/>
    <w:rsid w:val="59423730"/>
    <w:rsid w:val="595A6E9E"/>
    <w:rsid w:val="596B127A"/>
    <w:rsid w:val="5A8F1C82"/>
    <w:rsid w:val="5AA04D8D"/>
    <w:rsid w:val="5AB970B9"/>
    <w:rsid w:val="5AFF5DE6"/>
    <w:rsid w:val="5B4026E8"/>
    <w:rsid w:val="5B482E24"/>
    <w:rsid w:val="5BB16B1B"/>
    <w:rsid w:val="5C0025C0"/>
    <w:rsid w:val="5C9A4DB7"/>
    <w:rsid w:val="5D1A39EE"/>
    <w:rsid w:val="5D5C7688"/>
    <w:rsid w:val="5D615C0F"/>
    <w:rsid w:val="5D820D6E"/>
    <w:rsid w:val="5D844DB8"/>
    <w:rsid w:val="5DEF6B62"/>
    <w:rsid w:val="5E224225"/>
    <w:rsid w:val="5E2732CD"/>
    <w:rsid w:val="5E336F39"/>
    <w:rsid w:val="5E7954A7"/>
    <w:rsid w:val="5E7E4092"/>
    <w:rsid w:val="5F5F081B"/>
    <w:rsid w:val="5FF20BF7"/>
    <w:rsid w:val="60205F90"/>
    <w:rsid w:val="608E2F6C"/>
    <w:rsid w:val="60DC0E4E"/>
    <w:rsid w:val="60EC3C37"/>
    <w:rsid w:val="617A5318"/>
    <w:rsid w:val="61A058F7"/>
    <w:rsid w:val="62082A4E"/>
    <w:rsid w:val="623C28E2"/>
    <w:rsid w:val="62CA193B"/>
    <w:rsid w:val="62D53BF4"/>
    <w:rsid w:val="631E0963"/>
    <w:rsid w:val="63483DC6"/>
    <w:rsid w:val="63610183"/>
    <w:rsid w:val="637947A5"/>
    <w:rsid w:val="63D0005D"/>
    <w:rsid w:val="64A86354"/>
    <w:rsid w:val="64B7605C"/>
    <w:rsid w:val="652564C3"/>
    <w:rsid w:val="652B096E"/>
    <w:rsid w:val="65530E49"/>
    <w:rsid w:val="658B678B"/>
    <w:rsid w:val="65E73B66"/>
    <w:rsid w:val="66131984"/>
    <w:rsid w:val="66187135"/>
    <w:rsid w:val="666D159D"/>
    <w:rsid w:val="66E16576"/>
    <w:rsid w:val="66E33C2D"/>
    <w:rsid w:val="67427945"/>
    <w:rsid w:val="678164D2"/>
    <w:rsid w:val="67D079BF"/>
    <w:rsid w:val="67E04310"/>
    <w:rsid w:val="68121D83"/>
    <w:rsid w:val="68233C28"/>
    <w:rsid w:val="68962A04"/>
    <w:rsid w:val="6906197A"/>
    <w:rsid w:val="690C637F"/>
    <w:rsid w:val="69272D18"/>
    <w:rsid w:val="692A17F3"/>
    <w:rsid w:val="69C27972"/>
    <w:rsid w:val="6A2E4954"/>
    <w:rsid w:val="6A6E396D"/>
    <w:rsid w:val="6AC9421D"/>
    <w:rsid w:val="6AD94F47"/>
    <w:rsid w:val="6B7539EB"/>
    <w:rsid w:val="6BAE3555"/>
    <w:rsid w:val="6BC12AEF"/>
    <w:rsid w:val="6C4C2667"/>
    <w:rsid w:val="6CD40BE1"/>
    <w:rsid w:val="6CDA49A3"/>
    <w:rsid w:val="6CEB79CD"/>
    <w:rsid w:val="6CF36133"/>
    <w:rsid w:val="6D27071C"/>
    <w:rsid w:val="6D2C0194"/>
    <w:rsid w:val="6D704B0C"/>
    <w:rsid w:val="6DD1076A"/>
    <w:rsid w:val="6DDE3DAF"/>
    <w:rsid w:val="6E1735DC"/>
    <w:rsid w:val="6E1F4ECD"/>
    <w:rsid w:val="6E2211D6"/>
    <w:rsid w:val="6EBD64D7"/>
    <w:rsid w:val="6F7A0A72"/>
    <w:rsid w:val="6FBA4BA1"/>
    <w:rsid w:val="70E13200"/>
    <w:rsid w:val="714420CD"/>
    <w:rsid w:val="715F4C2D"/>
    <w:rsid w:val="71742846"/>
    <w:rsid w:val="72024D75"/>
    <w:rsid w:val="724530CF"/>
    <w:rsid w:val="72CB7F46"/>
    <w:rsid w:val="73121CB7"/>
    <w:rsid w:val="73134E8E"/>
    <w:rsid w:val="745A4881"/>
    <w:rsid w:val="745C121D"/>
    <w:rsid w:val="755C4C37"/>
    <w:rsid w:val="761A2E8D"/>
    <w:rsid w:val="768D7CD7"/>
    <w:rsid w:val="76A17FB6"/>
    <w:rsid w:val="7741565A"/>
    <w:rsid w:val="774D1291"/>
    <w:rsid w:val="776C25E5"/>
    <w:rsid w:val="776C3E9D"/>
    <w:rsid w:val="77B7237F"/>
    <w:rsid w:val="77FD2C5E"/>
    <w:rsid w:val="78271104"/>
    <w:rsid w:val="784B7472"/>
    <w:rsid w:val="78861A8D"/>
    <w:rsid w:val="78ED42D2"/>
    <w:rsid w:val="78F82ED4"/>
    <w:rsid w:val="7925703F"/>
    <w:rsid w:val="79597330"/>
    <w:rsid w:val="7962750F"/>
    <w:rsid w:val="796B0021"/>
    <w:rsid w:val="79701A60"/>
    <w:rsid w:val="797218E2"/>
    <w:rsid w:val="79DE3112"/>
    <w:rsid w:val="79F228E3"/>
    <w:rsid w:val="7A4205D3"/>
    <w:rsid w:val="7AB05BBC"/>
    <w:rsid w:val="7AB44E97"/>
    <w:rsid w:val="7AB94AC3"/>
    <w:rsid w:val="7AE36910"/>
    <w:rsid w:val="7B940404"/>
    <w:rsid w:val="7BF8597E"/>
    <w:rsid w:val="7C12395E"/>
    <w:rsid w:val="7C14711B"/>
    <w:rsid w:val="7C312516"/>
    <w:rsid w:val="7C45431D"/>
    <w:rsid w:val="7C4A144B"/>
    <w:rsid w:val="7C5E2D26"/>
    <w:rsid w:val="7C6B6B6B"/>
    <w:rsid w:val="7C741066"/>
    <w:rsid w:val="7C963B24"/>
    <w:rsid w:val="7D4C1C46"/>
    <w:rsid w:val="7D850286"/>
    <w:rsid w:val="7DB44FBE"/>
    <w:rsid w:val="7DB6382F"/>
    <w:rsid w:val="7DC53D43"/>
    <w:rsid w:val="7DC64605"/>
    <w:rsid w:val="7DDD0501"/>
    <w:rsid w:val="7E2653BA"/>
    <w:rsid w:val="7E2B63E7"/>
    <w:rsid w:val="7E8B79FF"/>
    <w:rsid w:val="7E935AFB"/>
    <w:rsid w:val="7E9C3271"/>
    <w:rsid w:val="7EC53F88"/>
    <w:rsid w:val="7EC65AAB"/>
    <w:rsid w:val="7EE64951"/>
    <w:rsid w:val="7F414A4C"/>
    <w:rsid w:val="7F4610EC"/>
    <w:rsid w:val="7F50759A"/>
    <w:rsid w:val="7FA522BC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5"/>
    <w:qFormat/>
    <w:uiPriority w:val="0"/>
    <w:pPr>
      <w:outlineLvl w:val="1"/>
    </w:pPr>
    <w:rPr>
      <w:iCs/>
      <w:szCs w:val="28"/>
    </w:rPr>
  </w:style>
  <w:style w:type="paragraph" w:styleId="4">
    <w:name w:val="heading 3"/>
    <w:basedOn w:val="3"/>
    <w:next w:val="1"/>
    <w:link w:val="52"/>
    <w:unhideWhenUsed/>
    <w:qFormat/>
    <w:uiPriority w:val="9"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6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30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7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6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4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5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6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7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8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9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30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1">
    <w:name w:val="List Paragraph"/>
    <w:basedOn w:val="1"/>
    <w:link w:val="47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2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3">
    <w:name w:val="B1"/>
    <w:basedOn w:val="12"/>
    <w:link w:val="34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4">
    <w:name w:val="B1 (文字)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5">
    <w:name w:val="B1 Char1"/>
    <w:qFormat/>
    <w:uiPriority w:val="0"/>
    <w:rPr>
      <w:lang w:val="en-GB" w:eastAsia="en-US"/>
    </w:rPr>
  </w:style>
  <w:style w:type="paragraph" w:customStyle="1" w:styleId="36">
    <w:name w:val="TAH"/>
    <w:basedOn w:val="37"/>
    <w:link w:val="42"/>
    <w:qFormat/>
    <w:uiPriority w:val="0"/>
    <w:rPr>
      <w:b/>
    </w:rPr>
  </w:style>
  <w:style w:type="paragraph" w:customStyle="1" w:styleId="37">
    <w:name w:val="TAC"/>
    <w:basedOn w:val="38"/>
    <w:link w:val="41"/>
    <w:qFormat/>
    <w:uiPriority w:val="0"/>
    <w:pPr>
      <w:jc w:val="center"/>
    </w:pPr>
    <w:rPr>
      <w:lang w:eastAsia="zh-CN"/>
    </w:rPr>
  </w:style>
  <w:style w:type="paragraph" w:customStyle="1" w:styleId="38">
    <w:name w:val="TAL"/>
    <w:basedOn w:val="1"/>
    <w:link w:val="51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1">
    <w:name w:val="TAC Char"/>
    <w:link w:val="37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2">
    <w:name w:val="TAH Car"/>
    <w:link w:val="36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4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5">
    <w:name w:val="RAN4 proposal"/>
    <w:basedOn w:val="7"/>
    <w:next w:val="1"/>
    <w:link w:val="46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6">
    <w:name w:val="RAN4 proposal Char"/>
    <w:link w:val="45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7">
    <w:name w:val="列出段落 Char"/>
    <w:link w:val="31"/>
    <w:qFormat/>
    <w:uiPriority w:val="34"/>
    <w:rPr>
      <w:kern w:val="2"/>
      <w:sz w:val="21"/>
      <w:szCs w:val="22"/>
    </w:rPr>
  </w:style>
  <w:style w:type="character" w:customStyle="1" w:styleId="48">
    <w:name w:val="ZGSM"/>
    <w:qFormat/>
    <w:uiPriority w:val="0"/>
  </w:style>
  <w:style w:type="character" w:customStyle="1" w:styleId="49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1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52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3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5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6">
    <w:name w:val="批注主题 Char"/>
    <w:basedOn w:val="55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8">
    <w:name w:val="TAN"/>
    <w:basedOn w:val="38"/>
    <w:qFormat/>
    <w:uiPriority w:val="0"/>
    <w:pPr>
      <w:ind w:left="851" w:hanging="851"/>
    </w:pPr>
  </w:style>
  <w:style w:type="paragraph" w:customStyle="1" w:styleId="59">
    <w:name w:val="B2"/>
    <w:basedOn w:val="11"/>
    <w:qFormat/>
    <w:uiPriority w:val="0"/>
    <w:pPr>
      <w:ind w:left="851" w:hanging="284"/>
    </w:pPr>
    <w:rPr>
      <w:lang w:val="zh-CN"/>
    </w:rPr>
  </w:style>
  <w:style w:type="character" w:customStyle="1" w:styleId="6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61">
    <w:name w:val="normaltextrun"/>
    <w:basedOn w:val="2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footer" Target="foot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oleObject" Target="embeddings/oleObject16.bin"/><Relationship Id="rId26" Type="http://schemas.openxmlformats.org/officeDocument/2006/relationships/oleObject" Target="embeddings/oleObject15.bin"/><Relationship Id="rId25" Type="http://schemas.openxmlformats.org/officeDocument/2006/relationships/oleObject" Target="embeddings/oleObject14.bin"/><Relationship Id="rId24" Type="http://schemas.openxmlformats.org/officeDocument/2006/relationships/oleObject" Target="embeddings/oleObject13.bin"/><Relationship Id="rId23" Type="http://schemas.openxmlformats.org/officeDocument/2006/relationships/oleObject" Target="embeddings/oleObject12.bin"/><Relationship Id="rId22" Type="http://schemas.openxmlformats.org/officeDocument/2006/relationships/image" Target="media/image7.wmf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7</Pages>
  <Words>868</Words>
  <Characters>4952</Characters>
  <Lines>41</Lines>
  <Paragraphs>11</Paragraphs>
  <TotalTime>89</TotalTime>
  <ScaleCrop>false</ScaleCrop>
  <LinksUpToDate>false</LinksUpToDate>
  <CharactersWithSpaces>5809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2022-04-25T15:41:50Z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